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Warszawskie neony</w:t>
      </w:r>
      <w:r>
        <w:rPr>
          <w:rFonts w:ascii="Liberation Serif" w:hAnsi="Liberation Serif"/>
          <w:b/>
          <w:bCs/>
          <w:sz w:val="28"/>
          <w:szCs w:val="28"/>
        </w:rPr>
        <w:t xml:space="preserve"> | </w:t>
      </w:r>
      <w:r>
        <w:rPr>
          <w:rFonts w:ascii="Liberation Serif" w:hAnsi="Liberation Serif"/>
          <w:b/>
          <w:bCs/>
          <w:sz w:val="28"/>
          <w:szCs w:val="28"/>
        </w:rPr>
        <w:t>materiał pomocniczy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dwudziestoleciu międzywojennym w Warszawie w</w:t>
      </w:r>
      <w:r>
        <w:rPr>
          <w:rFonts w:ascii="Liberation Serif" w:hAnsi="Liberation Serif"/>
        </w:rPr>
        <w:t xml:space="preserve">yróżniały się reklamy „Radio Telefunken”, „Komunalna Kasa Oszczędności”, „Puder Antiba” „Mydło Rewolwer” firmy Majde, „Porter, piwo, wódki – Haberbusch i Schiele”, „Koniak likiery Stock”, „Gotuj na gazie” (zachęta do zamiany kuchenek węglowych na gazowe), „Ludwik Spiess i Syn” (materiały apteczne i medykamenty) oraz „Pijcie piwo żywieckie”. O tej ostatniej reklamie wiemy, iż świeciła na niebiesko i czerwono. 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Reklamy neonowe koncentrowały się w </w:t>
      </w:r>
      <w:r>
        <w:rPr>
          <w:rFonts w:ascii="Liberation Serif" w:hAnsi="Liberation Serif"/>
        </w:rPr>
        <w:t>Ś</w:t>
      </w:r>
      <w:r>
        <w:rPr>
          <w:rFonts w:ascii="Liberation Serif" w:hAnsi="Liberation Serif"/>
        </w:rPr>
        <w:t xml:space="preserve">ródmieściu jeszcze w kilku innych miejscach, m.in. przy skrzyżowaniu Alej Jerozolimskich z Nowym Światem. Na dachu sześciokondygnacyjnej kamienicy, która stała w miejscu obecnego skweru przy ul. Smolnej, piętrzyła się reklama mydła Jeleń słynnej firmy Schicht (fabryka przy ul. Szwedzkiej, powojenna Pollena), wyposażona w sylwetkę tytułowego zwierzęcia i zegar „cyfrowy”. Po drugiej stronie Nowego Światu (kamienica w miejscu obecnego Empiku) świecił równie potężny neon dachowy z wielkim wizerunkiem opony samochodowej i napisem „Polska opona Stomil”. </w:t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W istnej kakofonii przekazów reklamowych na początku lat 30. przeważała barwa czerwona w różnych odcieniach, kupcy uważali bowiem, że ten kolor jest najbardziej zauważalny. Zalew czerwieni i powszechnie stosowane pulsowanie napisów wywołały obawy władz miasta o dostateczną widoczność pierwszych montowanych ówcześnie sygnalizatorów świetlnych i o stan zdrowia oczu przechodniów. W 1933 r. miasto wprowadziło szczegółowe przepisy, rezerwując sobie możliwość blokowania montażu reklam z nimi niezgodnych. W przypadku czerwonych neonów można je było montować dopiero powyżej sześciu metrów nad trotuarem, semaforowe zaś – powyżej trzech metrów, przy czym żadne neony nie mogły pulsować, a co najwyżej zapalać się i gasnąć. Przy okazji udało się niemal zupełnie wyrugować malowane szyldy i płachty reklamowe, w co dziś trudno uwierzyć. </w:t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b/>
          <w:bCs/>
          <w:sz w:val="20"/>
          <w:szCs w:val="20"/>
          <w:shd w:fill="auto" w:val="clear"/>
        </w:rPr>
      </w:pPr>
      <w:r>
        <w:rPr>
          <w:rFonts w:ascii="Liberation Serif" w:hAnsi="Liberation Serif"/>
          <w:b/>
          <w:bCs/>
          <w:sz w:val="20"/>
          <w:szCs w:val="20"/>
          <w:shd w:fill="auto" w:val="clear"/>
        </w:rPr>
      </w:r>
    </w:p>
    <w:p>
      <w:pPr>
        <w:pStyle w:val="Normal"/>
        <w:shd w:fill="auto" w:val="clear"/>
        <w:jc w:val="left"/>
        <w:rPr>
          <w:rFonts w:ascii="Liberation Serif" w:hAnsi="Liberation Serif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1134" w:header="0" w:top="1134" w:footer="744" w:bottom="135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Fonts w:ascii="Liberation Serif" w:hAnsi="Liberation Serif"/>
        <w:b w:val="false"/>
        <w:bCs w:val="false"/>
        <w:sz w:val="21"/>
        <w:szCs w:val="21"/>
      </w:rPr>
    </w:pPr>
    <w:r>
      <w:rPr>
        <w:rFonts w:ascii="Liberation Serif" w:hAnsi="Liberation Serif"/>
        <w:b w:val="false"/>
        <w:bCs w:val="false"/>
        <w:sz w:val="21"/>
        <w:szCs w:val="21"/>
      </w:rPr>
      <w:t xml:space="preserve">Lekcja: </w:t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4900930</wp:posOffset>
          </wp:positionH>
          <wp:positionV relativeFrom="paragraph">
            <wp:posOffset>-93345</wp:posOffset>
          </wp:positionV>
          <wp:extent cx="1414780" cy="56515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iberation Serif" w:hAnsi="Liberation Serif"/>
        <w:b w:val="false"/>
        <w:bCs w:val="false"/>
        <w:sz w:val="21"/>
        <w:szCs w:val="21"/>
      </w:rPr>
      <w:t>Warszawa - przedwojenne miasto neonów.</w:t>
    </w:r>
    <w:r>
      <w:rPr>
        <w:rFonts w:ascii="Liberation Serif" w:hAnsi="Liberation Serif"/>
        <w:b w:val="false"/>
        <w:bCs w:val="false"/>
        <w:sz w:val="21"/>
        <w:szCs w:val="21"/>
      </w:rPr>
      <w:t xml:space="preserve"> </w:t>
    </w:r>
    <w:r>
      <w:rPr>
        <w:rFonts w:ascii="Liberation Serif" w:hAnsi="Liberation Serif"/>
        <w:b w:val="false"/>
        <w:bCs w:val="false"/>
        <w:sz w:val="21"/>
        <w:szCs w:val="21"/>
      </w:rPr>
      <w:t xml:space="preserve">| edukacjamedialna.edu.pl      </w:t>
      <w:tab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2012-12-13T16:20:31Z</dcterms:created>
  <dc:language>pl-PL</dc:language>
  <cp:lastModifiedBy>Ola Sekuła</cp:lastModifiedBy>
  <cp:lastPrinted>2013-01-24T13:38:57Z</cp:lastPrinted>
  <dcterms:modified xsi:type="dcterms:W3CDTF">2015-07-15T22:43:43Z</dcterms:modified>
  <cp:revision>10</cp:revision>
</cp:coreProperties>
</file>